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160" w:line="259" w:lineRule="auto"/>
        <w:rPr>
          <w:rFonts w:ascii="Times New Roman" w:hAnsi="Times New Roman" w:eastAsiaTheme="minorHAnsi" w:cs="Times New Roman"/>
          <w:b/>
          <w:lang w:eastAsia="en-US"/>
        </w:rPr>
      </w:pPr>
      <w:r>
        <w:rPr>
          <w:rFonts w:ascii="Times New Roman" w:hAnsi="Times New Roman" w:eastAsiaTheme="minorHAnsi" w:cs="Times New Roman"/>
          <w:b/>
          <w:lang w:eastAsia="en-US"/>
        </w:rPr>
        <w:t xml:space="preserve">                 </w:t>
      </w:r>
      <w:r>
        <w:rPr>
          <w:rFonts w:ascii="Times New Roman" w:hAnsi="Times New Roman" w:cs="Times New Roman"/>
          <w:b/>
          <w:noProof/>
        </w:rPr>
        <w:drawing>
          <wp:inline>
            <wp:extent cx="457200" cy="537986"/>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537986"/>
                    </a:xfrm>
                    <a:prstGeom prst="rect">
                      <a:avLst/>
                    </a:prstGeom>
                  </pic:spPr>
                </pic:pic>
              </a:graphicData>
            </a:graphic>
          </wp:inline>
        </w:drawing>
      </w:r>
      <w:r>
        <w:rPr>
          <w:rFonts w:ascii="Times New Roman" w:hAnsi="Times New Roman" w:eastAsiaTheme="minorHAnsi" w:cs="Times New Roman"/>
          <w:b/>
          <w:lang w:eastAsia="en-US"/>
        </w:rPr>
        <w:t xml:space="preserve"> </w:t>
      </w: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0" w:line="259" w:lineRule="auto"/>
              <w:rPr>
                <w:rFonts w:ascii="Times New Roman" w:hAnsi="Times New Roman" w:eastAsiaTheme="minorHAnsi" w:cs="Times New Roman"/>
                <w:lang w:eastAsia="en-US"/>
              </w:rPr>
            </w:pPr>
            <w:bookmarkStart w:id="2" w:name="_Hlk128748807"/>
            <w:r>
              <w:rPr>
                <w:rFonts w:ascii="Times New Roman" w:hAnsi="Times New Roman" w:eastAsiaTheme="minorHAnsi" w:cs="Times New Roman"/>
                <w:b/>
                <w:lang w:eastAsia="en-US"/>
              </w:rPr>
              <w:t xml:space="preserve">REPUBLIKA HRVATSKA</w:t>
            </w:r>
            <w:r>
              <w:rPr>
                <w:rFonts w:ascii="Times New Roman" w:hAnsi="Times New Roman" w:eastAsiaTheme="minorHAnsi" w:cs="Times New Roman"/>
                <w:lang w:eastAsia="en-US"/>
              </w:rPr>
              <w:t xml:space="preserve">                                                                                                      </w:t>
            </w:r>
            <w:r>
              <w:rPr>
                <w:rFonts w:ascii="Times New Roman" w:hAnsi="Times New Roman" w:eastAsiaTheme="minorHAnsi" w:cs="Times New Roman"/>
                <w:b/>
                <w:lang w:eastAsia="en-US"/>
              </w:rPr>
              <w:t xml:space="preserve">OSNOVNA ŠKOLA JURJA BARAKOVIĆA RAŽANAC</w:t>
            </w:r>
            <w:r>
              <w:rPr>
                <w:rFonts w:ascii="Times New Roman" w:hAnsi="Times New Roman" w:eastAsiaTheme="minorHAnsi" w:cs="Times New Roman"/>
                <w:lang w:eastAsia="en-US"/>
              </w:rPr>
              <w:t xml:space="preserve"> </w:t>
            </w:r>
          </w:p>
          <w:p>
            <w:pPr>
              <w:spacing w:after="0" w:line="259" w:lineRule="auto"/>
              <w:rPr>
                <w:rFonts w:ascii="Times New Roman" w:hAnsi="Times New Roman" w:eastAsiaTheme="minorHAnsi" w:cs="Times New Roman"/>
                <w:lang w:eastAsia="en-US"/>
              </w:rPr>
            </w:pPr>
            <w:r>
              <w:rPr>
                <w:rFonts w:ascii="Times New Roman" w:hAnsi="Times New Roman" w:eastAsiaTheme="minorHAnsi" w:cs="Times New Roman"/>
                <w:lang w:eastAsia="en-US"/>
              </w:rPr>
              <w:t xml:space="preserve">Ražanac X 9, 23248 Ražanac                                                                                                    KLASA: </w:t>
            </w:r>
            <w:r>
              <w:rPr>
                <w:rFonts w:ascii="Times New Roman" w:hAnsi="Times New Roman" w:cs="Times New Roman"/>
                <w:noProof/>
                <w:lang w:val="en-US"/>
              </w:rPr>
              <w:t xml:space="preserve">112-04/26-01/14</w:t>
            </w:r>
            <w:r>
              <w:rPr>
                <w:rFonts w:ascii="Times New Roman" w:hAnsi="Times New Roman" w:eastAsiaTheme="minorHAnsi" w:cs="Times New Roman"/>
                <w:lang w:eastAsia="en-US"/>
              </w:rPr>
              <w:t xml:space="preserve">                                                                                                                                        URBROJ: </w:t>
            </w:r>
            <w:r>
              <w:rPr>
                <w:rFonts w:ascii="Times New Roman" w:hAnsi="Times New Roman" w:eastAsiaTheme="minorHAnsi" w:cs="Times New Roman"/>
                <w:noProof/>
                <w:lang w:eastAsia="en-US"/>
              </w:rPr>
              <w:t xml:space="preserve">2198-1-26-26-8</w:t>
            </w:r>
            <w:r>
              <w:rPr>
                <w:rFonts w:ascii="Times New Roman" w:hAnsi="Times New Roman" w:eastAsiaTheme="minorHAnsi" w:cs="Times New Roman"/>
                <w:lang w:eastAsia="en-US"/>
              </w:rPr>
              <w:t xml:space="preserve">                                                                                                           Ražanac, 09.10.2026. godine</w:t>
            </w:r>
          </w:p>
        </w:tc>
        <w:tc>
          <w:tcPr>
            <w:tcW w:type="dxa" w:w="2693"/>
            <w:tcBorders/>
          </w:tcPr>
          <w:p>
            <w:pPr>
              <w:spacing w:after="160" w:line="259" w:lineRule="auto"/>
              <w:jc w:val="right"/>
              <w:rPr>
                <w:rFonts w:ascii="Times New Roman" w:hAnsi="Times New Roman" w:eastAsiaTheme="minorHAnsi" w:cs="Times New Roman"/>
                <w:lang w:eastAsia="en-US"/>
              </w:rPr>
            </w:pPr>
            <w:r>
              <w:rPr>
                <w:noProof/>
              </w:rPr>
              <w:drawing>
                <wp:inline>
                  <wp:extent cx="933580" cy="933580"/>
                  <wp:effectExtent xmlns:wp="http://schemas.openxmlformats.org/drawingml/2006/wordprocessingDrawing" l="0" t="0" r="0" b="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pPr>
        <w:spacing w:after="160" w:line="259" w:lineRule="auto"/>
        <w:rPr>
          <w:rFonts w:ascii="Times New Roman" w:hAnsi="Times New Roman" w:eastAsiaTheme="minorHAnsi" w:cs="Times New Roman"/>
          <w:lang w:eastAsia="en-US"/>
        </w:rPr>
      </w:pPr>
      <w:r>
        <w:rPr>
          <w:rFonts w:ascii="Times New Roman" w:hAnsi="Times New Roman" w:eastAsiaTheme="minorHAnsi" w:cs="Times New Roman"/>
          <w:b/>
          <w:lang w:eastAsia="en-US"/>
        </w:rPr>
        <w:t xml:space="preserve">                                                                                              </w:t>
      </w:r>
      <w:r>
        <w:rPr>
          <w:rFonts w:ascii="Times New Roman" w:hAnsi="Times New Roman" w:eastAsiaTheme="minorHAnsi" w:cs="Times New Roman"/>
          <w:lang w:eastAsia="en-US"/>
        </w:rPr>
        <w:t xml:space="preserve">                                                                                                                                                                                                                                                                                                            </w:t>
      </w:r>
    </w:p>
    <w:p>
      <w:pPr>
        <w:shd w:val="clear" w:color="auto" w:fill="FFFFFF"/>
        <w:spacing w:before="100" w:beforeAutospacing="1" w:after="100" w:afterAutospacing="1" w:line="240" w:lineRule="auto"/>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POZIV NA TESTIRANJE</w:t>
      </w:r>
    </w:p>
    <w:p>
      <w:pPr>
        <w:shd w:val="clear" w:color="auto" w:fill="FFFFFF"/>
        <w:spacing w:before="100" w:beforeAutospacing="1" w:after="100" w:afterAutospacing="1" w:line="240" w:lineRule="auto"/>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kandidata za natječaj za radno mjesto učitelja matematike na neodređeno puno radno vrijeme </w:t>
      </w:r>
    </w:p>
    <w:p>
      <w:pPr>
        <w:shd w:val="clear" w:color="auto" w:fill="FFFFFF"/>
        <w:spacing w:before="100" w:beforeAutospacing="1" w:after="100" w:afterAutospacing="1" w:line="240" w:lineRule="auto"/>
        <w:jc w:val="both"/>
        <w:rPr>
          <w:rFonts w:ascii="Times New Roman" w:hAnsi="Times New Roman" w:eastAsia="Times New Roman" w:cs="Times New Roman"/>
          <w:b/>
          <w:bCs/>
          <w:color w:val="000000"/>
          <w:u w:val="single"/>
        </w:rPr>
      </w:pPr>
      <w:r>
        <w:rPr>
          <w:rFonts w:ascii="Times New Roman" w:hAnsi="Times New Roman" w:eastAsia="Times New Roman" w:cs="Times New Roman"/>
          <w:color w:val="000000"/>
        </w:rPr>
        <w:t xml:space="preserve">Temeljem čl. 11. Pravilnika o načinu i postupku zapošljavanja u osnovnoj školi Jurja Barakovića, Ražanac Povjerenstvo za postupak vrednovanja kandidata upućuje poziv na testiranje kandidatima koji </w:t>
      </w:r>
      <w:r>
        <w:rPr>
          <w:rFonts w:ascii="Times New Roman" w:hAnsi="Times New Roman" w:eastAsia="Times New Roman" w:cs="Times New Roman"/>
          <w:b/>
          <w:bCs/>
          <w:color w:val="000000"/>
          <w:u w:val="single"/>
        </w:rPr>
        <w:t xml:space="preserve">ispunjavaju formalne uvjete natječaja</w:t>
      </w:r>
      <w:r>
        <w:rPr>
          <w:rFonts w:ascii="Times New Roman" w:hAnsi="Times New Roman" w:eastAsia="Times New Roman" w:cs="Times New Roman"/>
          <w:color w:val="000000"/>
        </w:rPr>
        <w:t xml:space="preserve"> za navedeno radno mjesto i koji su pravodobno dostavili </w:t>
      </w:r>
      <w:r>
        <w:rPr>
          <w:rFonts w:ascii="Times New Roman" w:hAnsi="Times New Roman" w:eastAsia="Times New Roman" w:cs="Times New Roman"/>
          <w:b/>
          <w:bCs/>
          <w:color w:val="000000"/>
          <w:u w:val="single"/>
        </w:rPr>
        <w:t xml:space="preserve">potpunu i</w:t>
      </w:r>
      <w:r>
        <w:rPr>
          <w:rFonts w:ascii="Times New Roman" w:hAnsi="Times New Roman" w:eastAsia="Times New Roman" w:cs="Times New Roman"/>
          <w:color w:val="000000"/>
        </w:rPr>
        <w:t xml:space="preserve"> </w:t>
      </w:r>
      <w:r>
        <w:rPr>
          <w:rFonts w:ascii="Times New Roman" w:hAnsi="Times New Roman" w:eastAsia="Times New Roman" w:cs="Times New Roman"/>
          <w:b/>
          <w:bCs/>
          <w:color w:val="000000"/>
          <w:u w:val="single"/>
        </w:rPr>
        <w:t xml:space="preserve">pravovaljanu dokumentaciju.</w:t>
      </w:r>
    </w:p>
    <w:p>
      <w:pPr>
        <w:shd w:val="clear" w:color="auto" w:fill="FFFFFF"/>
        <w:spacing w:before="100" w:beforeAutospacing="1" w:after="100" w:afterAutospacing="1" w:line="240" w:lineRule="auto"/>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Testiranje će se obaviti u prostoru škole po sljedećem rasporedu:</w:t>
      </w:r>
    </w:p>
    <w:p>
      <w:pPr>
        <w:shd w:val="clear" w:color="auto" w:fill="FFFFFF"/>
        <w:spacing w:before="100" w:beforeAutospacing="1" w:after="100" w:afterAutospacing="1" w:line="240" w:lineRule="auto"/>
        <w:rPr>
          <w:rFonts w:ascii="Times New Roman" w:hAnsi="Times New Roman" w:eastAsia="Times New Roman" w:cs="Times New Roman"/>
          <w:color w:val="000000"/>
        </w:rPr>
      </w:pPr>
      <w:r>
        <w:rPr>
          <w:rFonts w:ascii="Times New Roman" w:hAnsi="Times New Roman" w:eastAsia="Times New Roman" w:cs="Times New Roman"/>
          <w:b/>
          <w:bCs/>
          <w:color w:val="000000"/>
        </w:rPr>
        <w:t xml:space="preserve">Dana  14.10.2026. godine (SRIJEDA)</w:t>
      </w:r>
    </w:p>
    <w:tbl>
      <w:tblPr>
        <w:tblStyle w:val="Reetkatablice"/>
        <w:tblW w:w="0" w:type="auto"/>
        <w:tblLook w:val="04A0" w:firstRow="1" w:lastRow="0" w:firstColumn="1" w:lastColumn="0" w:noHBand="0" w:noVBand="1"/>
      </w:tblPr>
      <w:tblGrid>
        <w:gridCol w:w="817"/>
        <w:gridCol w:w="2897"/>
        <w:gridCol w:w="4049"/>
      </w:tblGrid>
      <w:tr>
        <w:trPr/>
        <w:tc>
          <w:tcPr>
            <w:tcW w:type="dxa" w:w="817"/>
            <w:tcBorders>
              <w:top w:val="single" w:color="auto" w:sz="4" w:space="0"/>
              <w:left w:val="single" w:color="auto" w:sz="4" w:space="0"/>
              <w:bottom w:val="single" w:color="auto" w:sz="4" w:space="0"/>
              <w:right w:val="single" w:color="auto" w:sz="4" w:space="0"/>
            </w:tcBorders>
            <w:hideMark/>
          </w:tcPr>
          <w:p>
            <w:pPr>
              <w:spacing/>
              <w:rPr>
                <w:b/>
              </w:rPr>
            </w:pPr>
            <w:r>
              <w:rPr>
                <w:b/>
              </w:rPr>
              <w:t xml:space="preserve">R.B</w:t>
            </w:r>
          </w:p>
        </w:tc>
        <w:tc>
          <w:tcPr>
            <w:tcW w:type="dxa" w:w="2897"/>
            <w:tcBorders>
              <w:top w:val="single" w:color="auto" w:sz="4" w:space="0"/>
              <w:left w:val="single" w:color="auto" w:sz="4" w:space="0"/>
              <w:bottom w:val="single" w:color="auto" w:sz="4" w:space="0"/>
              <w:right w:val="single" w:color="auto" w:sz="4" w:space="0"/>
            </w:tcBorders>
            <w:hideMark/>
          </w:tcPr>
          <w:p>
            <w:pPr>
              <w:spacing/>
              <w:jc w:val="center"/>
              <w:rPr>
                <w:b/>
              </w:rPr>
            </w:pPr>
            <w:r>
              <w:rPr>
                <w:b/>
              </w:rPr>
              <w:t xml:space="preserve"> IME i PREZIME</w:t>
            </w:r>
          </w:p>
        </w:tc>
        <w:tc>
          <w:tcPr>
            <w:tcW w:type="dxa" w:w="4049"/>
            <w:tcBorders>
              <w:top w:val="single" w:color="auto" w:sz="4" w:space="0"/>
              <w:left w:val="single" w:color="auto" w:sz="4" w:space="0"/>
              <w:bottom w:val="single" w:color="auto" w:sz="4" w:space="0"/>
              <w:right w:val="single" w:color="auto" w:sz="4" w:space="0"/>
            </w:tcBorders>
            <w:hideMark/>
          </w:tcPr>
          <w:p>
            <w:pPr>
              <w:spacing/>
              <w:jc w:val="center"/>
              <w:rPr>
                <w:b/>
              </w:rPr>
            </w:pPr>
            <w:r>
              <w:rPr>
                <w:b/>
              </w:rPr>
              <w:t xml:space="preserve">VRIJEME TESTIRANJA</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bookmarkStart w:id="3" w:name="_Hlk85785369"/>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M.D.</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11:15</w:t>
            </w:r>
          </w:p>
        </w:tc>
      </w:tr>
      <w:tr>
        <w:trPr>
          <w:trHeight w:val="380" w:hRule="atLeast"/>
        </w:trPr>
        <w:tc>
          <w:tcPr>
            <w:tcW w:type="dxa" w:w="817"/>
            <w:tcBorders>
              <w:top w:val="single" w:color="auto" w:sz="4" w:space="0"/>
              <w:left w:val="single" w:color="auto" w:sz="4" w:space="0"/>
              <w:bottom w:val="single" w:color="auto" w:sz="4" w:space="0"/>
              <w:right w:val="single" w:color="auto" w:sz="4" w:space="0"/>
            </w:tcBorders>
          </w:tcPr>
          <w:p>
            <w:pPr>
              <w:pStyle w:val="Odlomakpopisa"/>
              <w:numPr>
                <w:ilvl w:val="0"/>
                <w:numId w:val="2"/>
              </w:numPr>
              <w:spacing/>
              <w:jc w:val="center"/>
              <w:rPr>
                <w:b/>
              </w:rPr>
            </w:pPr>
          </w:p>
        </w:tc>
        <w:tc>
          <w:tcPr>
            <w:tcW w:type="dxa" w:w="2897"/>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B.P.</w:t>
            </w:r>
          </w:p>
        </w:tc>
        <w:tc>
          <w:tcPr>
            <w:tcW w:type="dxa" w:w="4049"/>
            <w:tcBorders>
              <w:top w:val="single" w:color="auto" w:sz="4" w:space="0"/>
              <w:left w:val="single" w:color="auto" w:sz="4" w:space="0"/>
              <w:bottom w:val="single" w:color="auto" w:sz="4" w:space="0"/>
              <w:right w:val="single" w:color="auto" w:sz="4" w:space="0"/>
            </w:tcBorders>
          </w:tcPr>
          <w:p>
            <w:pPr>
              <w:spacing/>
              <w:jc w:val="center"/>
              <w:rPr>
                <w:b/>
              </w:rPr>
            </w:pPr>
            <w:r>
              <w:rPr>
                <w:b/>
              </w:rPr>
              <w:t xml:space="preserve">11:30</w:t>
            </w:r>
            <w:bookmarkStart w:id="4" w:name="_GoBack"/>
            <w:bookmarkEnd w:id="4"/>
          </w:p>
        </w:tc>
      </w:tr>
    </w:tbl>
    <w:bookmarkEnd w:id="3"/>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Vrednovanje kandidata će se provesti usmeno putem razgovora (intervjua). 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pPr>
        <w:shd w:val="clear" w:color="auto" w:fill="FFFFFF"/>
        <w:spacing w:before="100" w:beforeAutospacing="1" w:after="100" w:afterAutospacing="1"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Povjerenstvo za vrednovanje utvrđuje Konačnu rang listu kandidata prema ukupno ostvarenom broju bodova sukladno Odluci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pPr>
        <w:shd w:val="clear" w:color="auto" w:fill="FFFFFF"/>
        <w:spacing w:before="100" w:beforeAutospacing="1" w:after="100" w:afterAutospacing="1" w:line="240" w:lineRule="auto"/>
        <w:jc w:val="both"/>
        <w:rPr>
          <w:rFonts w:ascii="Times New Roman" w:hAnsi="Times New Roman" w:eastAsia="Times New Roman" w:cs="Times New Roman"/>
        </w:rPr>
      </w:pPr>
      <w:r>
        <w:rPr>
          <w:rFonts w:ascii="Times New Roman" w:hAnsi="Times New Roman" w:eastAsia="Times New Roman" w:cs="Times New Roman"/>
          <w:b/>
          <w:bCs/>
          <w:color w:val="000000"/>
          <w:u w:val="single"/>
        </w:rPr>
        <w:t xml:space="preserve">PODRUČJA IZ KOJIH ĆE SE OBAVITI VREDNOVANJE ODNOSNO TESTIRANJE </w:t>
      </w:r>
    </w:p>
    <w:p>
      <w:pPr>
        <w:shd w:val="clear" w:color="auto" w:fill="FFFFFF"/>
        <w:spacing w:before="100" w:beforeAutospacing="1" w:after="100" w:afterAutospacing="1" w:line="240" w:lineRule="auto"/>
        <w:jc w:val="both"/>
        <w:rPr>
          <w:rFonts w:ascii="Times New Roman" w:hAnsi="Times New Roman" w:eastAsia="Times New Roman" w:cs="Times New Roman"/>
        </w:rPr>
      </w:pPr>
      <w:r>
        <w:rPr>
          <w:rFonts w:ascii="Times New Roman" w:hAnsi="Times New Roman" w:eastAsia="Times New Roman" w:cs="Times New Roman"/>
        </w:rPr>
        <w:t xml:space="preserve">1. Statut Osnovne škole Jurja Barakovića, Ražanac (</w:t>
      </w:r>
      <w:r>
        <w:rPr>
          <w:rFonts w:ascii="Times New Roman" w:hAnsi="Times New Roman" w:eastAsia="Times New Roman" w:cs="Times New Roman"/>
          <w:i/>
          <w:iCs/>
        </w:rPr>
        <w:t xml:space="preserve">dostupan na web stranici Škole pod rubrikom "Statut"</w:t>
      </w:r>
      <w:r>
        <w:rPr>
          <w:rFonts w:ascii="Times New Roman" w:hAnsi="Times New Roman" w:eastAsia="Times New Roman" w:cs="Times New Roman"/>
        </w:rPr>
        <w:t xml:space="preserve">)</w:t>
      </w:r>
    </w:p>
    <w:p>
      <w:pPr>
        <w:spacing w:after="0" w:line="240" w:lineRule="auto"/>
        <w:rPr>
          <w:rFonts w:ascii="Times New Roman" w:hAnsi="Times New Roman" w:cs="Times New Roman"/>
        </w:rPr>
      </w:pPr>
      <w:r>
        <w:rPr>
          <w:rFonts w:ascii="Times New Roman" w:hAnsi="Times New Roman" w:cs="Times New Roman"/>
        </w:rPr>
        <w:t xml:space="preserve">2. Zakon o odgoju i obrazovanju u osnovnoj i srednjoj školi („NN“ br. 87/08., 86/09., 92/10., 105/10., 90/11., 5/12., 16/12.,86/12., 126/12.,94/13.,152/14, 7/17, 68/18, 98/19, 64/20,151/22, 155/23 i 156/23)</w:t>
      </w:r>
    </w:p>
    <w:p>
      <w:pPr>
        <w:spacing w:after="0" w:line="240" w:lineRule="auto"/>
        <w:rPr>
          <w:rFonts w:ascii="Times New Roman" w:hAnsi="Times New Roman" w:cs="Times New Roman"/>
        </w:rPr>
      </w:pPr>
    </w:p>
    <w:p>
      <w:pPr>
        <w:spacing w:after="0" w:line="240" w:lineRule="auto"/>
        <w:rPr>
          <w:rFonts w:ascii="Times New Roman" w:hAnsi="Times New Roman" w:cs="Times New Roman"/>
        </w:rPr>
      </w:pPr>
      <w:r>
        <w:rPr>
          <w:rFonts w:ascii="Times New Roman" w:hAnsi="Times New Roman" w:cs="Times New Roman"/>
        </w:rPr>
        <w:t xml:space="preserve">3. Predmetni kurikulum </w:t>
      </w:r>
      <w:r>
        <w:rPr>
          <w:rFonts w:ascii="Times New Roman" w:hAnsi="Times New Roman" w:cs="Times New Roman"/>
          <w:b/>
        </w:rPr>
        <w:t xml:space="preserve">Matematika</w:t>
      </w:r>
    </w:p>
    <w:p>
      <w:pPr>
        <w:pStyle w:val="StandardWeb"/>
        <w:spacing w:before="0" w:after="0"/>
        <w:rPr>
          <w:sz w:val="22"/>
          <w:szCs w:val="22"/>
        </w:rPr>
      </w:pPr>
      <w:r>
        <w:rPr>
          <w:sz w:val="22"/>
          <w:szCs w:val="22"/>
        </w:rPr>
        <w:t xml:space="preserve">NAPOMENA: Navedeni Kurikulumi su dostupni na slijedećoj poveznici: </w:t>
      </w:r>
      <w:r>
        <w:rPr>
          <w:rStyle w:val="Hiperveza"/>
          <w:rFonts w:eastAsiaTheme="minorEastAsia"/>
          <w:sz w:val="22"/>
          <w:szCs w:val="22"/>
        </w:rPr>
        <w:t xml:space="preserve">https://mzom.gov.hr/istaknute-teme/odgoj-i-obrazovanje/nacionalni-kurikulum/predmetni-kurikulumi/539</w:t>
      </w:r>
    </w:p>
    <w:p>
      <w:pPr>
        <w:spacing w:after="0" w:line="240" w:lineRule="auto"/>
        <w:rPr>
          <w:rFonts w:ascii="Times New Roman" w:hAnsi="Times New Roman" w:cs="Times New Roman"/>
        </w:rPr>
      </w:pPr>
      <w:r>
        <w:rPr>
          <w:rFonts w:ascii="Times New Roman" w:hAnsi="Times New Roman" w:cs="Times New Roman"/>
        </w:rPr>
        <w:t xml:space="preserve">4. Međupredmetne teme u sklopu Nacionalnog kurikuluma </w:t>
      </w:r>
      <w:r>
        <w:rPr/>
        <w:fldChar w:fldCharType="begin"/>
      </w:r>
      <w:r>
        <w:rPr/>
        <w:instrText xml:space="preserve">HYPERLINK "https://mzo.gov.hr/istaknute-teme/odgoj-i-obrazovanje/nacionalni-kurikulum/medjupredmetne-teme/3852" </w:instrText>
      </w:r>
      <w:r>
        <w:rPr/>
        <w:fldChar w:fldCharType="separate"/>
      </w:r>
      <w:r>
        <w:rPr>
          <w:rStyle w:val="Hiperveza"/>
          <w:rFonts w:ascii="Times New Roman" w:hAnsi="Times New Roman" w:cs="Times New Roman"/>
        </w:rPr>
        <w:t xml:space="preserve">https://mzo.gov.hr/istaknute-teme/odgoj-i-obrazovanje/nacionalni-kurikulum/medjupredmetne-teme/3852</w:t>
      </w:r>
      <w:r>
        <w:rPr/>
        <w:fldChar w:fldCharType="end"/>
      </w:r>
    </w:p>
    <w:p>
      <w:pPr>
        <w:spacing w:after="0" w:line="240" w:lineRule="auto"/>
        <w:rPr>
          <w:rFonts w:ascii="Times New Roman" w:hAnsi="Times New Roman" w:cs="Times New Roman"/>
        </w:rPr>
      </w:pPr>
    </w:p>
    <w:p>
      <w:pPr>
        <w:spacing w:after="0" w:line="240" w:lineRule="auto"/>
        <w:rPr>
          <w:rStyle w:val="Hiperveza"/>
          <w:rFonts w:ascii="Times New Roman" w:hAnsi="Times New Roman" w:cs="Times New Roman"/>
        </w:rPr>
      </w:pPr>
      <w:r>
        <w:rPr>
          <w:rFonts w:ascii="Times New Roman" w:hAnsi="Times New Roman" w:cs="Times New Roman"/>
        </w:rPr>
        <w:t xml:space="preserve">5.  Pravilnik o načinima, postupcima i elementima vrednovanja učenika u osnovnoj i srednjoj školi (NN 112-10)  Agencija za odgoj i obrazovanje </w:t>
      </w:r>
      <w:r>
        <w:rPr/>
        <w:fldChar w:fldCharType="begin"/>
      </w:r>
      <w:r>
        <w:rPr/>
        <w:instrText xml:space="preserve">HYPERLINK "https://www.azoo.hr/index.php?view=article&amp;id=5853&amp;naziv=pravilnici" </w:instrText>
      </w:r>
      <w:r>
        <w:rPr/>
        <w:fldChar w:fldCharType="separate"/>
      </w:r>
      <w:r>
        <w:rPr>
          <w:rStyle w:val="Hiperveza"/>
          <w:rFonts w:ascii="Times New Roman" w:hAnsi="Times New Roman" w:cs="Times New Roman"/>
        </w:rPr>
        <w:t xml:space="preserve">https://www.azoo.hr/index.php?view=article&amp;id=5853&amp;naziv=pravilnici</w:t>
      </w:r>
      <w:r>
        <w:rPr/>
        <w:fldChar w:fldCharType="end"/>
      </w:r>
    </w:p>
    <w:p>
      <w:pPr>
        <w:spacing w:after="0" w:line="240" w:lineRule="auto"/>
        <w:rPr>
          <w:rFonts w:ascii="Times New Roman" w:hAnsi="Times New Roman" w:cs="Times New Roman"/>
        </w:rPr>
      </w:pPr>
    </w:p>
    <w:p>
      <w:pPr>
        <w:spacing w:after="0" w:line="240" w:lineRule="auto"/>
        <w:rPr>
          <w:rStyle w:val="Hiperveza"/>
          <w:rFonts w:ascii="Times New Roman" w:hAnsi="Times New Roman" w:cs="Times New Roman"/>
        </w:rPr>
      </w:pPr>
      <w:r>
        <w:rPr>
          <w:rFonts w:ascii="Times New Roman" w:hAnsi="Times New Roman" w:cs="Times New Roman"/>
        </w:rPr>
        <w:t xml:space="preserve">6. Pravilnik o izmjenama i dopuni Pravilnika o načinima, postupcima i elementima vrednovanja učenika u osnovnoj i srednjoj školi   Agencija za odgoj i obrazovanje </w:t>
      </w:r>
      <w:r>
        <w:rPr/>
        <w:fldChar w:fldCharType="begin"/>
      </w:r>
      <w:r>
        <w:rPr/>
        <w:instrText xml:space="preserve">HYPERLINK "https://www.azoo.hr/index.php?view=article&amp;id=5853&amp;naziv=pravilnici" </w:instrText>
      </w:r>
      <w:r>
        <w:rPr/>
        <w:fldChar w:fldCharType="separate"/>
      </w:r>
      <w:r>
        <w:rPr>
          <w:rStyle w:val="Hiperveza"/>
          <w:rFonts w:ascii="Times New Roman" w:hAnsi="Times New Roman" w:cs="Times New Roman"/>
        </w:rPr>
        <w:t xml:space="preserve">https://www.azoo.hr/index.php</w:t>
      </w:r>
      <w:r>
        <w:rPr/>
        <w:fldChar w:fldCharType="end"/>
      </w:r>
    </w:p>
    <w:p>
      <w:pPr>
        <w:spacing w:after="0" w:line="240" w:lineRule="auto"/>
        <w:rPr>
          <w:rFonts w:ascii="Times New Roman" w:hAnsi="Times New Roman" w:cs="Times New Roman"/>
        </w:rPr>
      </w:pPr>
    </w:p>
    <w:p>
      <w:pPr>
        <w:spacing w:after="0" w:line="240" w:lineRule="auto"/>
        <w:rPr>
          <w:rFonts w:ascii="Times New Roman" w:hAnsi="Times New Roman" w:cs="Times New Roman"/>
          <w:color w:val="000000"/>
        </w:rPr>
      </w:pPr>
      <w:r>
        <w:rPr>
          <w:rFonts w:ascii="Times New Roman" w:hAnsi="Times New Roman" w:eastAsia="Times New Roman" w:cs="Times New Roman"/>
          <w:bCs/>
          <w:color w:val="000000"/>
        </w:rPr>
        <w:t xml:space="preserve">7. Pravilnik o načinu postupanja odgojno-obrazovnih radnika školskih ustanova u poduzimanju mjera zaštite prava učenika te prijave svakog kršenja tih prava nadležnim tijelima</w:t>
      </w:r>
    </w:p>
    <w:p>
      <w:pPr>
        <w:pStyle w:val="Odlomakpopisa"/>
        <w:spacing w:line="360" w:lineRule="auto"/>
        <w:jc w:val="both"/>
        <w:rPr>
          <w:color w:val="000000"/>
        </w:rPr>
      </w:pPr>
      <w:r>
        <w:rPr>
          <w:color w:val="000000"/>
        </w:rPr>
        <w:t xml:space="preserve">                                            </w:t>
      </w:r>
    </w:p>
    <w:p>
      <w:pPr>
        <w:pStyle w:val="Odlomakpopisa"/>
        <w:spacing w:line="360" w:lineRule="auto"/>
        <w:jc w:val="both"/>
        <w:rPr>
          <w:sz w:val="22"/>
          <w:szCs w:val="22"/>
          <w:lang w:val="hr-HR" w:eastAsia="en-US"/>
        </w:rPr>
      </w:pPr>
      <w:r>
        <w:rPr>
          <w:color w:val="000000"/>
        </w:rPr>
        <w:t xml:space="preserve">                                                                         </w:t>
      </w:r>
    </w:p>
    <w:p>
      <w:pPr>
        <w:shd w:val="clear" w:color="auto" w:fill="FFFFFF"/>
        <w:spacing w:before="100" w:beforeAutospacing="1" w:after="100" w:afterAutospacing="1" w:line="240" w:lineRule="auto"/>
        <w:jc w:val="right"/>
        <w:rPr>
          <w:rFonts w:ascii="Times New Roman" w:hAnsi="Times New Roman" w:cs="Times New Roman"/>
        </w:rPr>
      </w:pPr>
      <w:r>
        <w:rPr>
          <w:rFonts w:ascii="Times New Roman" w:hAnsi="Times New Roman" w:cs="Times New Roman"/>
        </w:rPr>
        <w:t xml:space="preserve">Povjerenstvo      </w:t>
      </w:r>
    </w:p>
    <w:p>
      <w:pPr>
        <w:pStyle w:val="Odlomakpopisa"/>
        <w:spacing w:line="360" w:lineRule="auto"/>
        <w:jc w:val="both"/>
        <w:rPr>
          <w:sz w:val="22"/>
          <w:szCs w:val="22"/>
          <w:lang w:val="hr-HR" w:eastAsia="en-US"/>
        </w:rPr>
      </w:pPr>
      <w:r>
        <w:rPr>
          <w:color w:val="000000"/>
        </w:rPr>
        <w:t xml:space="preserve">                                                                         </w:t>
      </w:r>
      <w:r>
        <w:rPr>
          <w:color w:val="000000"/>
          <w:sz w:val="22"/>
          <w:szCs w:val="22"/>
        </w:rPr>
        <w:t xml:space="preserve">                                                      </w:t>
      </w:r>
    </w:p>
    <w:p>
      <w:pPr>
        <w:spacing/>
        <w:rPr/>
      </w:pPr>
    </w:p>
    <w:sectPr>
      <w:type w:val="nextPage"/>
      <w:pgSz w:w="11906" w:h="16838"/>
      <w:pgMar w:top="1417" w:right="1417" w:bottom="1417" w:left="1417" w:header="708" w:footer="708"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238"/>
    <w:family w:val="swiss"/>
    <w:pitch w:val="variable"/>
    <w:sig w:usb0="E4002EFF" w:usb1="C000247B" w:usb2="00000009" w:usb3="00000000" w:csb0="000001FF" w:csb1="00000000"/>
  </w:font>
  <w:font w:name="Times New Roman">
    <w:charset w:val="238"/>
    <w:family w:val="roman"/>
    <w:pitch w:val="variable"/>
    <w:sig w:usb0="E0002EFF" w:usb1="C000785B" w:usb2="00000009" w:usb3="00000000" w:csb0="000001FF" w:csb1="00000000"/>
  </w:font>
  <w:font w:name="Segoe UI">
    <w:charset w:val="238"/>
    <w:family w:val="swiss"/>
    <w:pitch w:val="variable"/>
    <w:sig w:usb0="E4002EFF" w:usb1="C000E47F" w:usb2="00000009" w:usb3="00000000" w:csb0="000001FF" w:csb1="00000000"/>
  </w:font>
  <w:font w:name="Calibri Light">
    <w:charset w:val="238"/>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F3A3D"/>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hr-HR"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pacing w:after="200" w:line="276" w:lineRule="auto"/>
    </w:pPr>
    <w:rPr>
      <w:rFonts w:eastAsiaTheme="minorEastAsia"/>
      <w:lang w:eastAsia="hr-HR"/>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character" w:styleId="Hiperveza">
    <w:name w:val="Hyperlink"/>
    <w:basedOn w:val="Zadanifontodlomka"/>
    <w:uiPriority w:val="99"/>
    <w:unhideWhenUsed/>
    <w:rPr>
      <w:color w:val="0563C1"/>
      <w:u w:val="single"/>
    </w:rPr>
  </w:style>
  <w:style w:type="paragraph" w:styleId="Odlomakpopisa">
    <w:name w:val="List Paragraph"/>
    <w:basedOn w:val="Normal"/>
    <w:uiPriority w:val="34"/>
    <w:qFormat/>
    <w:pPr>
      <w:spacing w:after="0" w:line="240" w:lineRule="auto"/>
      <w:ind w:left="720"/>
      <w:contextualSpacing/>
    </w:pPr>
    <w:rPr>
      <w:rFonts w:ascii="Times New Roman" w:hAnsi="Times New Roman" w:eastAsia="Times New Roman" w:cs="Times New Roman"/>
      <w:sz w:val="24"/>
      <w:szCs w:val="24"/>
      <w:lang w:val="en-US"/>
    </w:rPr>
  </w:style>
  <w:style w:type="table" w:styleId="Reetkatablice">
    <w:name w:val="Table Grid"/>
    <w:basedOn w:val="Obinatablica"/>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ezproreda1" w:customStyle="1">
    <w:name w:val="Bez proreda1"/>
    <w:uiPriority w:val="1"/>
    <w:qFormat/>
    <w:pPr>
      <w:spacing w:after="0" w:line="240" w:lineRule="auto"/>
    </w:pPr>
    <w:rPr>
      <w:rFonts w:eastAsiaTheme="minorEastAsia"/>
      <w:lang w:eastAsia="hr-HR"/>
    </w:rPr>
  </w:style>
  <w:style w:type="paragraph" w:styleId="StandardWeb">
    <w:name w:val="Normal (Web)"/>
    <w:basedOn w:val="Normal"/>
    <w:uiPriority w:val="99"/>
    <w:semiHidden/>
    <w:unhideWhenUsed/>
    <w:pPr>
      <w:spacing w:before="100" w:beforeAutospacing="1" w:after="100" w:afterAutospacing="1" w:line="240" w:lineRule="auto"/>
    </w:pPr>
    <w:rPr>
      <w:rFonts w:ascii="Times New Roman" w:hAnsi="Times New Roman" w:eastAsia="Times New Roman" w:cs="Times New Roman"/>
      <w:sz w:val="24"/>
      <w:szCs w:val="24"/>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styleId="TekstbaloniaChar" w:customStyle="1">
    <w:name w:val="Tekst balončića Char"/>
    <w:basedOn w:val="Zadanifontodlomka"/>
    <w:uiPriority w:val="99"/>
    <w:semiHidden/>
    <w:rPr>
      <w:rFonts w:ascii="Segoe UI" w:hAnsi="Segoe UI" w:eastAsiaTheme="minorEastAsia" w:cs="Segoe UI"/>
      <w:sz w:val="18"/>
      <w:szCs w:val="18"/>
      <w:lang w:eastAsia="hr-HR"/>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784</Words>
  <Characters>4471</Characters>
  <Application>Microsoft Office Word</Application>
  <DocSecurity>0</DocSecurity>
  <Lines>37</Lines>
  <Paragraphs>10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Ured-Ra1</dc:creator>
  <cp:keywords/>
  <dc:description/>
  <cp:lastModifiedBy>Ured-Ra1</cp:lastModifiedBy>
  <cp:lastPrinted>2026-10-09T10:50:00Z</cp:lastPrinted>
  <cp:revision>4</cp:revision>
  <dcterms:created xsi:type="dcterms:W3CDTF">2026-10-09T10:51:00Z</dcterms:created>
  <dcterms:modified xsi:type="dcterms:W3CDTF">2026-10-09T12:21:00Z</dcterms:modified>
</cp:coreProperties>
</file>