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D2C" w:rsidRDefault="00CC0B69">
      <w:pPr>
        <w:pStyle w:val="Bezproreda1"/>
      </w:pPr>
      <w:bookmarkStart w:id="0" w:name="_GoBack"/>
      <w:bookmarkEnd w:id="0"/>
      <w:r>
        <w:t>REPUBLIKA HRVATSKA</w:t>
      </w:r>
    </w:p>
    <w:p w:rsidR="002D5D2C" w:rsidRDefault="00CC0B69">
      <w:pPr>
        <w:pStyle w:val="Bezproreda1"/>
      </w:pPr>
      <w:r>
        <w:t>OŠ JURJA BARAKOVIĆA, RAŽANAC</w:t>
      </w:r>
    </w:p>
    <w:p w:rsidR="002D5D2C" w:rsidRDefault="00CC0B69">
      <w:pPr>
        <w:pStyle w:val="Bezproreda1"/>
      </w:pPr>
      <w:r>
        <w:t>RAŽANAC X 9</w:t>
      </w:r>
    </w:p>
    <w:p w:rsidR="002D5D2C" w:rsidRDefault="00CC0B69">
      <w:pPr>
        <w:pStyle w:val="Bezproreda1"/>
      </w:pPr>
      <w:r>
        <w:t>23 248 RAŽANAC</w:t>
      </w:r>
    </w:p>
    <w:p w:rsidR="002D5D2C" w:rsidRDefault="002D5D2C">
      <w:pPr>
        <w:pStyle w:val="Bezproreda1"/>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7"/>
        <w:gridCol w:w="2693"/>
      </w:tblGrid>
      <w:tr w:rsidR="002D5D2C">
        <w:tc>
          <w:tcPr>
            <w:tcW w:w="6377" w:type="dxa"/>
            <w:hideMark/>
          </w:tcPr>
          <w:p w:rsidR="002D5D2C" w:rsidRDefault="00CC0B69">
            <w:pPr>
              <w:rPr>
                <w:rFonts w:ascii="Times New Roman" w:hAnsi="Times New Roman" w:cs="Times New Roman"/>
              </w:rPr>
            </w:pPr>
            <w:r>
              <w:rPr>
                <w:rFonts w:ascii="Times New Roman" w:hAnsi="Times New Roman" w:cs="Times New Roman"/>
              </w:rPr>
              <w:t xml:space="preserve">KLASA: </w:t>
            </w:r>
            <w:r>
              <w:rPr>
                <w:rFonts w:ascii="Times New Roman" w:hAnsi="Times New Roman" w:cs="Times New Roman"/>
                <w:noProof/>
                <w:lang w:val="en-US"/>
              </w:rPr>
              <w:t>112-04/26-01/10</w:t>
            </w:r>
            <w:r>
              <w:rPr>
                <w:rFonts w:ascii="Times New Roman" w:hAnsi="Times New Roman" w:cs="Times New Roman"/>
              </w:rPr>
              <w:t xml:space="preserve">                                                                                                                                        URBROJ: </w:t>
            </w:r>
            <w:r>
              <w:rPr>
                <w:rFonts w:ascii="Times New Roman" w:hAnsi="Times New Roman" w:cs="Times New Roman"/>
                <w:noProof/>
              </w:rPr>
              <w:t>2198-1-26-26-10</w:t>
            </w:r>
            <w:r>
              <w:rPr>
                <w:rFonts w:ascii="Times New Roman" w:hAnsi="Times New Roman" w:cs="Times New Roman"/>
              </w:rPr>
              <w:t xml:space="preserve">                                       </w:t>
            </w:r>
          </w:p>
          <w:p w:rsidR="002D5D2C" w:rsidRDefault="00CC0B69">
            <w:pPr>
              <w:rPr>
                <w:rFonts w:ascii="Times New Roman" w:hAnsi="Times New Roman" w:cs="Times New Roman"/>
              </w:rPr>
            </w:pPr>
            <w:r>
              <w:rPr>
                <w:rFonts w:ascii="Times New Roman" w:eastAsia="Calibri" w:hAnsi="Times New Roman" w:cs="Times New Roman"/>
                <w:noProof/>
              </w:rPr>
              <w:t>Ražanac</w:t>
            </w:r>
            <w:r>
              <w:rPr>
                <w:rFonts w:ascii="Times New Roman" w:eastAsia="Calibri" w:hAnsi="Times New Roman" w:cs="Times New Roman"/>
              </w:rPr>
              <w:t xml:space="preserve">, </w:t>
            </w:r>
            <w:r>
              <w:rPr>
                <w:rFonts w:ascii="Times New Roman" w:eastAsia="Calibri" w:hAnsi="Times New Roman" w:cs="Times New Roman"/>
                <w:noProof/>
              </w:rPr>
              <w:t>21. 4. 2026.</w:t>
            </w:r>
          </w:p>
        </w:tc>
        <w:tc>
          <w:tcPr>
            <w:tcW w:w="2693" w:type="dxa"/>
            <w:hideMark/>
          </w:tcPr>
          <w:p w:rsidR="002D5D2C" w:rsidRDefault="00CC0B69">
            <w:pPr>
              <w:jc w:val="right"/>
              <w:rPr>
                <w:rFonts w:ascii="Times New Roman" w:hAnsi="Times New Roman" w:cs="Times New Roman"/>
              </w:rPr>
            </w:pPr>
            <w:r>
              <w:rPr>
                <w:noProof/>
              </w:rPr>
              <w:drawing>
                <wp:inline distT="0" distB="0" distL="0" distR="0">
                  <wp:extent cx="933580" cy="93358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tbl>
    <w:p w:rsidR="002D5D2C" w:rsidRDefault="002D5D2C">
      <w:pPr>
        <w:spacing w:after="0" w:line="240" w:lineRule="auto"/>
        <w:jc w:val="both"/>
        <w:rPr>
          <w:rFonts w:ascii="Times New Roman" w:hAnsi="Times New Roman" w:cs="Times New Roman"/>
        </w:rPr>
      </w:pPr>
    </w:p>
    <w:p w:rsidR="002D5D2C" w:rsidRDefault="002D5D2C">
      <w:pPr>
        <w:spacing w:after="0" w:line="240" w:lineRule="auto"/>
        <w:rPr>
          <w:rFonts w:ascii="Times New Roman" w:hAnsi="Times New Roman" w:cs="Times New Roman"/>
          <w:b/>
          <w:lang w:val="de-DE"/>
        </w:rPr>
      </w:pPr>
    </w:p>
    <w:p w:rsidR="002D5D2C" w:rsidRDefault="00CC0B69">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POZIV NA TESTIRANJE</w:t>
      </w:r>
    </w:p>
    <w:p w:rsidR="002D5D2C" w:rsidRDefault="00CC0B69">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Pr>
          <w:rFonts w:ascii="Times New Roman" w:eastAsia="Times New Roman" w:hAnsi="Times New Roman" w:cs="Times New Roman"/>
          <w:b/>
          <w:bCs/>
          <w:color w:val="000000"/>
        </w:rPr>
        <w:t>kandidata za natječaj za radno mjesto stručnog suradnika pedagoga na određeno puno radno vrijeme - zamjena</w:t>
      </w:r>
    </w:p>
    <w:p w:rsidR="002D5D2C" w:rsidRDefault="00CC0B69">
      <w:pPr>
        <w:shd w:val="clear" w:color="auto" w:fill="FFFFFF"/>
        <w:spacing w:before="100" w:beforeAutospacing="1" w:after="100" w:afterAutospacing="1" w:line="240" w:lineRule="auto"/>
        <w:jc w:val="both"/>
        <w:rPr>
          <w:rFonts w:ascii="Times New Roman" w:eastAsia="Times New Roman" w:hAnsi="Times New Roman" w:cs="Times New Roman"/>
          <w:b/>
          <w:bCs/>
          <w:color w:val="000000"/>
          <w:u w:val="single"/>
        </w:rPr>
      </w:pPr>
      <w:r>
        <w:rPr>
          <w:rFonts w:ascii="Times New Roman" w:eastAsia="Times New Roman" w:hAnsi="Times New Roman" w:cs="Times New Roman"/>
          <w:color w:val="000000"/>
        </w:rPr>
        <w:t>Temeljem čl. 11. Pravilnika o načinu i postupku zapošljavanja u osnovnoj školi Jurja Barakovića, Ražanac Povjerenstvo za postupak vrednovanja kandidata upućuje poziv na testiranje kandidatima koji </w:t>
      </w:r>
      <w:r>
        <w:rPr>
          <w:rFonts w:ascii="Times New Roman" w:eastAsia="Times New Roman" w:hAnsi="Times New Roman" w:cs="Times New Roman"/>
          <w:b/>
          <w:bCs/>
          <w:color w:val="000000"/>
          <w:u w:val="single"/>
        </w:rPr>
        <w:t>ispunjavaju formalne uvjete natječaja</w:t>
      </w:r>
      <w:r>
        <w:rPr>
          <w:rFonts w:ascii="Times New Roman" w:eastAsia="Times New Roman" w:hAnsi="Times New Roman" w:cs="Times New Roman"/>
          <w:color w:val="000000"/>
        </w:rPr>
        <w:t> za navedeno radno mje</w:t>
      </w:r>
      <w:r>
        <w:rPr>
          <w:rFonts w:ascii="Times New Roman" w:eastAsia="Times New Roman" w:hAnsi="Times New Roman" w:cs="Times New Roman"/>
          <w:color w:val="000000"/>
        </w:rPr>
        <w:t>sto i koji su pravodobno dostavili </w:t>
      </w:r>
      <w:r>
        <w:rPr>
          <w:rFonts w:ascii="Times New Roman" w:eastAsia="Times New Roman" w:hAnsi="Times New Roman" w:cs="Times New Roman"/>
          <w:b/>
          <w:bCs/>
          <w:color w:val="000000"/>
          <w:u w:val="single"/>
        </w:rPr>
        <w:t>potpunu i</w:t>
      </w:r>
      <w:r>
        <w:rPr>
          <w:rFonts w:ascii="Times New Roman" w:eastAsia="Times New Roman" w:hAnsi="Times New Roman" w:cs="Times New Roman"/>
          <w:color w:val="000000"/>
        </w:rPr>
        <w:t> </w:t>
      </w:r>
      <w:r>
        <w:rPr>
          <w:rFonts w:ascii="Times New Roman" w:eastAsia="Times New Roman" w:hAnsi="Times New Roman" w:cs="Times New Roman"/>
          <w:b/>
          <w:bCs/>
          <w:color w:val="000000"/>
          <w:u w:val="single"/>
        </w:rPr>
        <w:t>pravovaljanu dokumentaciju.</w:t>
      </w:r>
    </w:p>
    <w:p w:rsidR="002D5D2C" w:rsidRDefault="00CC0B69">
      <w:pPr>
        <w:shd w:val="clear" w:color="auto" w:fill="FFFFFF"/>
        <w:spacing w:before="100" w:beforeAutospacing="1" w:after="100" w:afterAutospacing="1"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Testiranje će se obaviti u prostoru škole po sljedećem rasporedu:</w:t>
      </w:r>
    </w:p>
    <w:p w:rsidR="002D5D2C" w:rsidRDefault="00CC0B69">
      <w:pPr>
        <w:shd w:val="clear" w:color="auto" w:fill="FFFFFF"/>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Dana 23.04.2026. godine (četvrtak )</w:t>
      </w:r>
    </w:p>
    <w:tbl>
      <w:tblPr>
        <w:tblStyle w:val="Reetkatablice"/>
        <w:tblW w:w="0" w:type="auto"/>
        <w:tblLook w:val="04A0" w:firstRow="1" w:lastRow="0" w:firstColumn="1" w:lastColumn="0" w:noHBand="0" w:noVBand="1"/>
      </w:tblPr>
      <w:tblGrid>
        <w:gridCol w:w="817"/>
        <w:gridCol w:w="2897"/>
        <w:gridCol w:w="4049"/>
      </w:tblGrid>
      <w:tr w:rsidR="002D5D2C">
        <w:tc>
          <w:tcPr>
            <w:tcW w:w="817" w:type="dxa"/>
            <w:tcBorders>
              <w:top w:val="single" w:sz="4" w:space="0" w:color="auto"/>
              <w:left w:val="single" w:sz="4" w:space="0" w:color="auto"/>
              <w:bottom w:val="single" w:sz="4" w:space="0" w:color="auto"/>
              <w:right w:val="single" w:sz="4" w:space="0" w:color="auto"/>
            </w:tcBorders>
            <w:hideMark/>
          </w:tcPr>
          <w:p w:rsidR="002D5D2C" w:rsidRDefault="00CC0B69">
            <w:pPr>
              <w:rPr>
                <w:b/>
              </w:rPr>
            </w:pPr>
            <w:r>
              <w:rPr>
                <w:b/>
              </w:rPr>
              <w:t>R.B</w:t>
            </w:r>
          </w:p>
        </w:tc>
        <w:tc>
          <w:tcPr>
            <w:tcW w:w="2897" w:type="dxa"/>
            <w:tcBorders>
              <w:top w:val="single" w:sz="4" w:space="0" w:color="auto"/>
              <w:left w:val="single" w:sz="4" w:space="0" w:color="auto"/>
              <w:bottom w:val="single" w:sz="4" w:space="0" w:color="auto"/>
              <w:right w:val="single" w:sz="4" w:space="0" w:color="auto"/>
            </w:tcBorders>
            <w:hideMark/>
          </w:tcPr>
          <w:p w:rsidR="002D5D2C" w:rsidRDefault="00CC0B69">
            <w:pPr>
              <w:jc w:val="center"/>
              <w:rPr>
                <w:b/>
              </w:rPr>
            </w:pPr>
            <w:r>
              <w:rPr>
                <w:b/>
              </w:rPr>
              <w:t xml:space="preserve"> IME i PREZIME</w:t>
            </w:r>
          </w:p>
        </w:tc>
        <w:tc>
          <w:tcPr>
            <w:tcW w:w="4049" w:type="dxa"/>
            <w:tcBorders>
              <w:top w:val="single" w:sz="4" w:space="0" w:color="auto"/>
              <w:left w:val="single" w:sz="4" w:space="0" w:color="auto"/>
              <w:bottom w:val="single" w:sz="4" w:space="0" w:color="auto"/>
              <w:right w:val="single" w:sz="4" w:space="0" w:color="auto"/>
            </w:tcBorders>
            <w:hideMark/>
          </w:tcPr>
          <w:p w:rsidR="002D5D2C" w:rsidRDefault="00CC0B69">
            <w:pPr>
              <w:jc w:val="center"/>
              <w:rPr>
                <w:b/>
              </w:rPr>
            </w:pPr>
            <w:r>
              <w:rPr>
                <w:b/>
              </w:rPr>
              <w:t>VRIJEME TESTIRANJA</w:t>
            </w:r>
          </w:p>
        </w:tc>
      </w:tr>
      <w:tr w:rsidR="002D5D2C">
        <w:trPr>
          <w:trHeight w:val="587"/>
        </w:trPr>
        <w:tc>
          <w:tcPr>
            <w:tcW w:w="817" w:type="dxa"/>
            <w:tcBorders>
              <w:top w:val="single" w:sz="4" w:space="0" w:color="auto"/>
              <w:left w:val="single" w:sz="4" w:space="0" w:color="auto"/>
              <w:bottom w:val="single" w:sz="4" w:space="0" w:color="auto"/>
              <w:right w:val="single" w:sz="4" w:space="0" w:color="auto"/>
            </w:tcBorders>
          </w:tcPr>
          <w:p w:rsidR="002D5D2C" w:rsidRDefault="002D5D2C">
            <w:pPr>
              <w:pStyle w:val="Odlomakpopisa"/>
              <w:numPr>
                <w:ilvl w:val="0"/>
                <w:numId w:val="8"/>
              </w:numPr>
              <w:jc w:val="center"/>
              <w:rPr>
                <w:b/>
              </w:rPr>
            </w:pPr>
            <w:bookmarkStart w:id="1" w:name="_Hlk85785369"/>
          </w:p>
        </w:tc>
        <w:tc>
          <w:tcPr>
            <w:tcW w:w="2897" w:type="dxa"/>
            <w:tcBorders>
              <w:top w:val="single" w:sz="4" w:space="0" w:color="auto"/>
              <w:left w:val="single" w:sz="4" w:space="0" w:color="auto"/>
              <w:bottom w:val="single" w:sz="4" w:space="0" w:color="auto"/>
              <w:right w:val="single" w:sz="4" w:space="0" w:color="auto"/>
            </w:tcBorders>
          </w:tcPr>
          <w:p w:rsidR="002D5D2C" w:rsidRDefault="00CC0B69">
            <w:pPr>
              <w:jc w:val="center"/>
              <w:rPr>
                <w:b/>
              </w:rPr>
            </w:pPr>
            <w:r>
              <w:rPr>
                <w:b/>
              </w:rPr>
              <w:t>F.S.</w:t>
            </w:r>
          </w:p>
        </w:tc>
        <w:tc>
          <w:tcPr>
            <w:tcW w:w="4049" w:type="dxa"/>
            <w:tcBorders>
              <w:top w:val="single" w:sz="4" w:space="0" w:color="auto"/>
              <w:left w:val="single" w:sz="4" w:space="0" w:color="auto"/>
              <w:bottom w:val="single" w:sz="4" w:space="0" w:color="auto"/>
              <w:right w:val="single" w:sz="4" w:space="0" w:color="auto"/>
            </w:tcBorders>
          </w:tcPr>
          <w:p w:rsidR="002D5D2C" w:rsidRDefault="00CC0B69">
            <w:pPr>
              <w:jc w:val="center"/>
              <w:rPr>
                <w:b/>
              </w:rPr>
            </w:pPr>
            <w:r>
              <w:rPr>
                <w:b/>
              </w:rPr>
              <w:t>11:30</w:t>
            </w:r>
          </w:p>
        </w:tc>
      </w:tr>
      <w:tr w:rsidR="002D5D2C">
        <w:trPr>
          <w:trHeight w:val="587"/>
        </w:trPr>
        <w:tc>
          <w:tcPr>
            <w:tcW w:w="817" w:type="dxa"/>
            <w:tcBorders>
              <w:top w:val="single" w:sz="4" w:space="0" w:color="auto"/>
              <w:left w:val="single" w:sz="4" w:space="0" w:color="auto"/>
              <w:bottom w:val="single" w:sz="4" w:space="0" w:color="auto"/>
              <w:right w:val="single" w:sz="4" w:space="0" w:color="auto"/>
            </w:tcBorders>
          </w:tcPr>
          <w:p w:rsidR="002D5D2C" w:rsidRDefault="002D5D2C">
            <w:pPr>
              <w:pStyle w:val="Odlomakpopisa"/>
              <w:numPr>
                <w:ilvl w:val="0"/>
                <w:numId w:val="8"/>
              </w:numPr>
              <w:jc w:val="center"/>
              <w:rPr>
                <w:b/>
              </w:rPr>
            </w:pPr>
          </w:p>
        </w:tc>
        <w:tc>
          <w:tcPr>
            <w:tcW w:w="2897" w:type="dxa"/>
            <w:tcBorders>
              <w:top w:val="single" w:sz="4" w:space="0" w:color="auto"/>
              <w:left w:val="single" w:sz="4" w:space="0" w:color="auto"/>
              <w:bottom w:val="single" w:sz="4" w:space="0" w:color="auto"/>
              <w:right w:val="single" w:sz="4" w:space="0" w:color="auto"/>
            </w:tcBorders>
          </w:tcPr>
          <w:p w:rsidR="002D5D2C" w:rsidRDefault="00CC0B69">
            <w:pPr>
              <w:jc w:val="center"/>
              <w:rPr>
                <w:b/>
              </w:rPr>
            </w:pPr>
            <w:r>
              <w:rPr>
                <w:b/>
              </w:rPr>
              <w:t>M.B.</w:t>
            </w:r>
          </w:p>
        </w:tc>
        <w:tc>
          <w:tcPr>
            <w:tcW w:w="4049" w:type="dxa"/>
            <w:tcBorders>
              <w:top w:val="single" w:sz="4" w:space="0" w:color="auto"/>
              <w:left w:val="single" w:sz="4" w:space="0" w:color="auto"/>
              <w:bottom w:val="single" w:sz="4" w:space="0" w:color="auto"/>
              <w:right w:val="single" w:sz="4" w:space="0" w:color="auto"/>
            </w:tcBorders>
          </w:tcPr>
          <w:p w:rsidR="002D5D2C" w:rsidRDefault="00CC0B69">
            <w:pPr>
              <w:jc w:val="center"/>
              <w:rPr>
                <w:b/>
              </w:rPr>
            </w:pPr>
            <w:r>
              <w:rPr>
                <w:b/>
              </w:rPr>
              <w:t>11:45</w:t>
            </w:r>
          </w:p>
        </w:tc>
      </w:tr>
      <w:tr w:rsidR="002D5D2C">
        <w:trPr>
          <w:trHeight w:val="587"/>
        </w:trPr>
        <w:tc>
          <w:tcPr>
            <w:tcW w:w="817" w:type="dxa"/>
            <w:tcBorders>
              <w:top w:val="single" w:sz="4" w:space="0" w:color="auto"/>
              <w:left w:val="single" w:sz="4" w:space="0" w:color="auto"/>
              <w:bottom w:val="single" w:sz="4" w:space="0" w:color="auto"/>
              <w:right w:val="single" w:sz="4" w:space="0" w:color="auto"/>
            </w:tcBorders>
          </w:tcPr>
          <w:p w:rsidR="002D5D2C" w:rsidRDefault="002D5D2C">
            <w:pPr>
              <w:pStyle w:val="Odlomakpopisa"/>
              <w:numPr>
                <w:ilvl w:val="0"/>
                <w:numId w:val="8"/>
              </w:numPr>
              <w:jc w:val="center"/>
              <w:rPr>
                <w:b/>
              </w:rPr>
            </w:pPr>
          </w:p>
        </w:tc>
        <w:tc>
          <w:tcPr>
            <w:tcW w:w="2897" w:type="dxa"/>
            <w:tcBorders>
              <w:top w:val="single" w:sz="4" w:space="0" w:color="auto"/>
              <w:left w:val="single" w:sz="4" w:space="0" w:color="auto"/>
              <w:bottom w:val="single" w:sz="4" w:space="0" w:color="auto"/>
              <w:right w:val="single" w:sz="4" w:space="0" w:color="auto"/>
            </w:tcBorders>
          </w:tcPr>
          <w:p w:rsidR="002D5D2C" w:rsidRDefault="00CC0B69">
            <w:pPr>
              <w:jc w:val="center"/>
              <w:rPr>
                <w:b/>
              </w:rPr>
            </w:pPr>
            <w:r>
              <w:rPr>
                <w:b/>
              </w:rPr>
              <w:t>A.NJ.</w:t>
            </w:r>
          </w:p>
        </w:tc>
        <w:tc>
          <w:tcPr>
            <w:tcW w:w="4049" w:type="dxa"/>
            <w:tcBorders>
              <w:top w:val="single" w:sz="4" w:space="0" w:color="auto"/>
              <w:left w:val="single" w:sz="4" w:space="0" w:color="auto"/>
              <w:bottom w:val="single" w:sz="4" w:space="0" w:color="auto"/>
              <w:right w:val="single" w:sz="4" w:space="0" w:color="auto"/>
            </w:tcBorders>
          </w:tcPr>
          <w:p w:rsidR="002D5D2C" w:rsidRDefault="00CC0B69">
            <w:pPr>
              <w:jc w:val="center"/>
              <w:rPr>
                <w:b/>
              </w:rPr>
            </w:pPr>
            <w:r>
              <w:rPr>
                <w:b/>
              </w:rPr>
              <w:t>12:00</w:t>
            </w:r>
          </w:p>
        </w:tc>
      </w:tr>
      <w:tr w:rsidR="002D5D2C">
        <w:trPr>
          <w:trHeight w:val="587"/>
        </w:trPr>
        <w:tc>
          <w:tcPr>
            <w:tcW w:w="817" w:type="dxa"/>
            <w:tcBorders>
              <w:top w:val="single" w:sz="4" w:space="0" w:color="auto"/>
              <w:left w:val="single" w:sz="4" w:space="0" w:color="auto"/>
              <w:bottom w:val="single" w:sz="4" w:space="0" w:color="auto"/>
              <w:right w:val="single" w:sz="4" w:space="0" w:color="auto"/>
            </w:tcBorders>
          </w:tcPr>
          <w:p w:rsidR="002D5D2C" w:rsidRDefault="002D5D2C">
            <w:pPr>
              <w:pStyle w:val="Odlomakpopisa"/>
              <w:numPr>
                <w:ilvl w:val="0"/>
                <w:numId w:val="8"/>
              </w:numPr>
              <w:jc w:val="center"/>
              <w:rPr>
                <w:b/>
              </w:rPr>
            </w:pPr>
          </w:p>
        </w:tc>
        <w:tc>
          <w:tcPr>
            <w:tcW w:w="2897" w:type="dxa"/>
            <w:tcBorders>
              <w:top w:val="single" w:sz="4" w:space="0" w:color="auto"/>
              <w:left w:val="single" w:sz="4" w:space="0" w:color="auto"/>
              <w:bottom w:val="single" w:sz="4" w:space="0" w:color="auto"/>
              <w:right w:val="single" w:sz="4" w:space="0" w:color="auto"/>
            </w:tcBorders>
          </w:tcPr>
          <w:p w:rsidR="002D5D2C" w:rsidRDefault="00CC0B69">
            <w:pPr>
              <w:jc w:val="center"/>
              <w:rPr>
                <w:b/>
              </w:rPr>
            </w:pPr>
            <w:r>
              <w:rPr>
                <w:b/>
              </w:rPr>
              <w:t>L.M.</w:t>
            </w:r>
          </w:p>
        </w:tc>
        <w:tc>
          <w:tcPr>
            <w:tcW w:w="4049" w:type="dxa"/>
            <w:tcBorders>
              <w:top w:val="single" w:sz="4" w:space="0" w:color="auto"/>
              <w:left w:val="single" w:sz="4" w:space="0" w:color="auto"/>
              <w:bottom w:val="single" w:sz="4" w:space="0" w:color="auto"/>
              <w:right w:val="single" w:sz="4" w:space="0" w:color="auto"/>
            </w:tcBorders>
          </w:tcPr>
          <w:p w:rsidR="002D5D2C" w:rsidRDefault="00CC0B69">
            <w:pPr>
              <w:jc w:val="center"/>
              <w:rPr>
                <w:b/>
              </w:rPr>
            </w:pPr>
            <w:r>
              <w:rPr>
                <w:b/>
              </w:rPr>
              <w:t>12:15</w:t>
            </w:r>
          </w:p>
        </w:tc>
      </w:tr>
    </w:tbl>
    <w:bookmarkEnd w:id="1"/>
    <w:p w:rsidR="002D5D2C" w:rsidRDefault="00CC0B69">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Vrednovanje kandidata će se provesti usmeno putem razgovora (intervjua). Usmenim testiranjem svaki član Povjerenstva postavlja do tri pitanja, a odgovori na pitanja se vrednuju od strane članova Povjerenstva na način da svaki član Povjerenstva </w:t>
      </w:r>
      <w:r>
        <w:rPr>
          <w:rFonts w:ascii="Times New Roman" w:eastAsia="Times New Roman" w:hAnsi="Times New Roman" w:cs="Times New Roman"/>
          <w:color w:val="000000"/>
        </w:rPr>
        <w:t>pojedinom kandidatu dodjeljuje od 0 do 10 bodova. Ocjene članova Povjerenstva se zbrajaju te se kandidatu aritmetičkom sredinom na dvije decimale određuje ostvareni ukupan broj bodova na usmenom testiranju. Usmenim testiranjem kandidat može ostvariti maksi</w:t>
      </w:r>
      <w:r>
        <w:rPr>
          <w:rFonts w:ascii="Times New Roman" w:eastAsia="Times New Roman" w:hAnsi="Times New Roman" w:cs="Times New Roman"/>
          <w:color w:val="000000"/>
        </w:rPr>
        <w:t>malno 10 bodova. Kandidat koji na usmenom testiranju nije ostvario 50% bodova ne može ići u daljnji postupak vrednovanja.</w:t>
      </w:r>
    </w:p>
    <w:p w:rsidR="002D5D2C" w:rsidRDefault="00CC0B69">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Kandidati su dužni sa sobom imati odgovarajuću identifikacijsku ispravu (važeću osobnu iskaznicu, putovnicu ili vozačku dozvolu).Kandi</w:t>
      </w:r>
      <w:r>
        <w:rPr>
          <w:rFonts w:ascii="Times New Roman" w:eastAsia="Times New Roman" w:hAnsi="Times New Roman" w:cs="Times New Roman"/>
          <w:color w:val="000000"/>
        </w:rPr>
        <w:t>dati koji ne mogu dokazati identitet i kandidati koji dođu nakon naznačenog vremena, neće moći pristupiti testiranju. Ne postoji mogućnost naknadnog testiranja, bez obzira na razloge koji kandidata priječe da testiranju pristupi u naznačeno vrijeme. Za kan</w:t>
      </w:r>
      <w:r>
        <w:rPr>
          <w:rFonts w:ascii="Times New Roman" w:eastAsia="Times New Roman" w:hAnsi="Times New Roman" w:cs="Times New Roman"/>
          <w:color w:val="000000"/>
        </w:rPr>
        <w:t>didata koji ne pristupi postupku testiranja smatra se da je odustao od natječaja.</w:t>
      </w:r>
    </w:p>
    <w:p w:rsidR="002D5D2C" w:rsidRDefault="00CC0B69">
      <w:pPr>
        <w:shd w:val="clear" w:color="auto" w:fill="FFFFFF"/>
        <w:spacing w:before="100" w:beforeAutospacing="1" w:after="100" w:afterAutospacing="1"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Povjerenstvo za vrednovanje utvrđuje Konačnu rang listu kandidata prema ukupno ostvarenom broju bodova sukladno Odluci o načinu vrednovanja kandidata. U slučaju da kandidat p</w:t>
      </w:r>
      <w:r>
        <w:rPr>
          <w:rFonts w:ascii="Times New Roman" w:eastAsia="Times New Roman" w:hAnsi="Times New Roman" w:cs="Times New Roman"/>
          <w:color w:val="000000"/>
        </w:rPr>
        <w:t>rijavljen na natječaj ostvaruje prednost pri zapošljavanju prema posebnom propisu ima jednak, najveći broj bodova s jednim ili više kandidata koji ne ostvaruju prednost pri zapošljavanju, stavlja se na prvo mjesto Konačne rang liste. Ukoliko dva ili više k</w:t>
      </w:r>
      <w:r>
        <w:rPr>
          <w:rFonts w:ascii="Times New Roman" w:eastAsia="Times New Roman" w:hAnsi="Times New Roman" w:cs="Times New Roman"/>
          <w:color w:val="000000"/>
        </w:rPr>
        <w:t>andidata prijavljenih na natječaj ostvaruju prednost pri zapošljavanju prema posebnom propisu imaju jednak, najveći broj bodova, prvo mjesto na Konačnoj rang listi se utvrđuje temeljem redoslijeda utvrđenog odredbama tog posebnog propisa.</w:t>
      </w:r>
    </w:p>
    <w:p w:rsidR="002D5D2C" w:rsidRDefault="00CC0B69">
      <w:pPr>
        <w:shd w:val="clear" w:color="auto" w:fill="FFFFFF"/>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b/>
          <w:bCs/>
          <w:color w:val="000000"/>
          <w:u w:val="single"/>
        </w:rPr>
        <w:t>PODRUČJA IZ KOJIH ĆE SE OBAVITI VREDNOVANJE ODNOSNO TESTIRANJE KANDIDATA</w:t>
      </w:r>
      <w:r>
        <w:rPr>
          <w:rFonts w:ascii="Times New Roman" w:eastAsia="Times New Roman" w:hAnsi="Times New Roman" w:cs="Times New Roman"/>
          <w:color w:val="000000"/>
        </w:rPr>
        <w:t>:</w:t>
      </w:r>
      <w:r>
        <w:rPr>
          <w:rFonts w:ascii="Times New Roman" w:eastAsia="Times New Roman" w:hAnsi="Times New Roman" w:cs="Times New Roman"/>
          <w:b/>
          <w:bCs/>
          <w:u w:val="single"/>
        </w:rPr>
        <w:t xml:space="preserve"> </w:t>
      </w:r>
    </w:p>
    <w:p w:rsidR="002D5D2C" w:rsidRDefault="00CC0B69">
      <w:pPr>
        <w:shd w:val="clear" w:color="auto" w:fill="FFFFFF"/>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1. Statut Osnovne škole Jurja Barakovića, Ražanac (</w:t>
      </w:r>
      <w:r>
        <w:rPr>
          <w:rFonts w:ascii="Times New Roman" w:eastAsia="Times New Roman" w:hAnsi="Times New Roman" w:cs="Times New Roman"/>
          <w:i/>
          <w:iCs/>
        </w:rPr>
        <w:t>- dostupan na web stranici Škole pod rubrikom "Statut"</w:t>
      </w:r>
      <w:r>
        <w:rPr>
          <w:rFonts w:ascii="Times New Roman" w:eastAsia="Times New Roman" w:hAnsi="Times New Roman" w:cs="Times New Roman"/>
        </w:rPr>
        <w:t>)</w:t>
      </w:r>
    </w:p>
    <w:p w:rsidR="002D5D2C" w:rsidRDefault="00CC0B69">
      <w:pPr>
        <w:spacing w:after="0" w:line="240" w:lineRule="auto"/>
        <w:rPr>
          <w:rFonts w:ascii="Times New Roman" w:hAnsi="Times New Roman" w:cs="Times New Roman"/>
        </w:rPr>
      </w:pPr>
      <w:r>
        <w:rPr>
          <w:rFonts w:ascii="Times New Roman" w:hAnsi="Times New Roman" w:cs="Times New Roman"/>
        </w:rPr>
        <w:t xml:space="preserve">2. Zakon o odgoju i obrazovanju u osnovnoj i srednjoj školi ( NN  broj </w:t>
      </w:r>
      <w:r>
        <w:rPr>
          <w:rFonts w:ascii="Times New Roman" w:hAnsi="Times New Roman" w:cs="Times New Roman"/>
        </w:rPr>
        <w:t>87/08., 86/09., 92/10., 105/10., 90/11., 5/12., 16/12.,86/12., 126/12., 94/13., 152/14, 7/17, 68/18, 98/19, 64/20, 151/22, 156/23)</w:t>
      </w:r>
    </w:p>
    <w:p w:rsidR="002D5D2C" w:rsidRDefault="002D5D2C">
      <w:pPr>
        <w:spacing w:after="0" w:line="240" w:lineRule="auto"/>
        <w:rPr>
          <w:rFonts w:ascii="Times New Roman" w:hAnsi="Times New Roman" w:cs="Times New Roman"/>
        </w:rPr>
      </w:pPr>
    </w:p>
    <w:p w:rsidR="002D5D2C" w:rsidRDefault="00CC0B69">
      <w:pPr>
        <w:spacing w:after="0" w:line="240" w:lineRule="auto"/>
        <w:rPr>
          <w:rFonts w:ascii="Times New Roman" w:hAnsi="Times New Roman" w:cs="Times New Roman"/>
        </w:rPr>
      </w:pPr>
      <w:r>
        <w:rPr>
          <w:rFonts w:ascii="Times New Roman" w:hAnsi="Times New Roman" w:cs="Times New Roman"/>
        </w:rPr>
        <w:t>3. Pravilnik o načinima, postupcima i elementima vrednovanja učenika u osnovnoj i srednjoj školi (NN broj 112/10, 82/19, 43/</w:t>
      </w:r>
      <w:r>
        <w:rPr>
          <w:rFonts w:ascii="Times New Roman" w:hAnsi="Times New Roman" w:cs="Times New Roman"/>
        </w:rPr>
        <w:t>20, 100/21) </w:t>
      </w:r>
    </w:p>
    <w:p w:rsidR="002D5D2C" w:rsidRDefault="002D5D2C">
      <w:pPr>
        <w:spacing w:after="0" w:line="240" w:lineRule="auto"/>
        <w:rPr>
          <w:rFonts w:ascii="Times New Roman" w:hAnsi="Times New Roman" w:cs="Times New Roman"/>
        </w:rPr>
      </w:pPr>
    </w:p>
    <w:p w:rsidR="002D5D2C" w:rsidRDefault="00CC0B69">
      <w:pPr>
        <w:spacing w:after="0" w:line="240" w:lineRule="auto"/>
        <w:rPr>
          <w:rFonts w:ascii="Times New Roman" w:hAnsi="Times New Roman" w:cs="Times New Roman"/>
        </w:rPr>
      </w:pPr>
      <w:r>
        <w:rPr>
          <w:rFonts w:ascii="Times New Roman" w:hAnsi="Times New Roman" w:cs="Times New Roman"/>
        </w:rPr>
        <w:t>4. Državni pedagoški standard osnovnoškolskog sustava odgoja i obrazovanja (NN broj 63/08,90/10)</w:t>
      </w:r>
    </w:p>
    <w:p w:rsidR="002D5D2C" w:rsidRDefault="002D5D2C">
      <w:pPr>
        <w:spacing w:after="0" w:line="240" w:lineRule="auto"/>
        <w:rPr>
          <w:rFonts w:ascii="Times New Roman" w:hAnsi="Times New Roman" w:cs="Times New Roman"/>
        </w:rPr>
      </w:pPr>
    </w:p>
    <w:p w:rsidR="002D5D2C" w:rsidRDefault="00CC0B69">
      <w:pPr>
        <w:spacing w:after="0" w:line="240" w:lineRule="auto"/>
        <w:rPr>
          <w:rFonts w:ascii="Times New Roman" w:hAnsi="Times New Roman" w:cs="Times New Roman"/>
        </w:rPr>
      </w:pPr>
      <w:r>
        <w:rPr>
          <w:rFonts w:ascii="Times New Roman" w:hAnsi="Times New Roman" w:cs="Times New Roman"/>
        </w:rPr>
        <w:t xml:space="preserve">5. Pravilnik o osnovnoškolskom </w:t>
      </w:r>
      <w:r>
        <w:t xml:space="preserve"> i srednjoškolskom odgoju i obrazovanju učenika s teškoćama u razvoju (NN broj 24/15)</w:t>
      </w:r>
    </w:p>
    <w:p w:rsidR="002D5D2C" w:rsidRDefault="00CC0B69">
      <w:pPr>
        <w:pStyle w:val="StandardWeb"/>
        <w:spacing w:before="0" w:after="0"/>
        <w:rPr>
          <w:rStyle w:val="Hiperveza"/>
          <w:color w:val="auto"/>
          <w:sz w:val="22"/>
          <w:szCs w:val="22"/>
          <w:u w:val="none"/>
        </w:rPr>
      </w:pPr>
      <w:r>
        <w:t>6.</w:t>
      </w:r>
      <w:r>
        <w:rPr>
          <w:rStyle w:val="Hiperveza"/>
          <w:color w:val="auto"/>
          <w:sz w:val="22"/>
          <w:szCs w:val="22"/>
          <w:u w:val="none"/>
        </w:rPr>
        <w:t xml:space="preserve"> Pravilnik o tjednim radn</w:t>
      </w:r>
      <w:r>
        <w:rPr>
          <w:rStyle w:val="Hiperveza"/>
          <w:color w:val="auto"/>
          <w:sz w:val="22"/>
          <w:szCs w:val="22"/>
          <w:u w:val="none"/>
        </w:rPr>
        <w:t>im obvezama učitelja i stručnih suradnika u osnovnoj školi (NN 34/14, 40/14, 103/14, 102/19)</w:t>
      </w:r>
    </w:p>
    <w:p w:rsidR="002D5D2C" w:rsidRDefault="00CC0B69">
      <w:pPr>
        <w:pStyle w:val="StandardWeb"/>
        <w:spacing w:before="0" w:after="0"/>
        <w:rPr>
          <w:rStyle w:val="Hiperveza"/>
          <w:color w:val="auto"/>
          <w:sz w:val="22"/>
          <w:szCs w:val="22"/>
          <w:u w:val="none"/>
        </w:rPr>
      </w:pPr>
      <w:r>
        <w:rPr>
          <w:rStyle w:val="Hiperveza"/>
          <w:color w:val="auto"/>
          <w:sz w:val="22"/>
          <w:szCs w:val="22"/>
          <w:u w:val="none"/>
        </w:rPr>
        <w:t>7. Pravilnik o broju učenika u redovitom i kombiniranom razrednom odjelu i odgojno-obrazovnoj skupini u osnovnoj školi (NN broj124/09 i 73/10)</w:t>
      </w:r>
    </w:p>
    <w:p w:rsidR="002D5D2C" w:rsidRDefault="00CC0B69">
      <w:pPr>
        <w:pStyle w:val="StandardWeb"/>
        <w:spacing w:before="0" w:after="0"/>
        <w:rPr>
          <w:rStyle w:val="Hiperveza"/>
          <w:color w:val="auto"/>
          <w:sz w:val="22"/>
          <w:szCs w:val="22"/>
          <w:u w:val="none"/>
        </w:rPr>
      </w:pPr>
      <w:r>
        <w:rPr>
          <w:rStyle w:val="Hiperveza"/>
          <w:color w:val="auto"/>
          <w:sz w:val="22"/>
          <w:szCs w:val="22"/>
          <w:u w:val="none"/>
        </w:rPr>
        <w:t>8. Pravilnik o pedag</w:t>
      </w:r>
      <w:r>
        <w:rPr>
          <w:rStyle w:val="Hiperveza"/>
          <w:color w:val="auto"/>
          <w:sz w:val="22"/>
          <w:szCs w:val="22"/>
          <w:u w:val="none"/>
        </w:rPr>
        <w:t>oškoj dokumentaciji i evidenciji te javnim ispravama u školskim ustanovama (NN broj 98/24)</w:t>
      </w:r>
    </w:p>
    <w:p w:rsidR="002D5D2C" w:rsidRDefault="00CC0B69">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9. Pravilnik o načinu postupanja odgojno-obrazovnih radnika školskih ustanova u poduzimanju mjera zaštite prava učenika te prijave svakog kršenja tih prava nadležnim</w:t>
      </w:r>
      <w:r>
        <w:rPr>
          <w:rFonts w:ascii="Times New Roman" w:eastAsia="Times New Roman" w:hAnsi="Times New Roman" w:cs="Times New Roman"/>
          <w:bCs/>
          <w:color w:val="000000"/>
        </w:rPr>
        <w:t xml:space="preserve"> tijelima (NN broj 132/13)</w:t>
      </w:r>
    </w:p>
    <w:p w:rsidR="002D5D2C" w:rsidRDefault="002D5D2C">
      <w:pPr>
        <w:spacing w:after="0" w:line="240" w:lineRule="auto"/>
        <w:rPr>
          <w:rFonts w:ascii="Times New Roman" w:hAnsi="Times New Roman" w:cs="Times New Roman"/>
        </w:rPr>
      </w:pPr>
    </w:p>
    <w:p w:rsidR="002D5D2C" w:rsidRDefault="00CC0B69">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10. Pravilnik o kriterijima za izricanje pedagoških mjera (NN broj 94/15 i 3/17)</w:t>
      </w:r>
    </w:p>
    <w:p w:rsidR="002D5D2C" w:rsidRDefault="00CC0B69">
      <w:pPr>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p>
    <w:p w:rsidR="002D5D2C" w:rsidRDefault="00CC0B69">
      <w:pPr>
        <w:spacing w:after="0" w:line="240" w:lineRule="auto"/>
        <w:rPr>
          <w:rFonts w:ascii="Times New Roman" w:hAnsi="Times New Roman" w:cs="Times New Roman"/>
        </w:rPr>
      </w:pPr>
      <w:r>
        <w:rPr>
          <w:rFonts w:ascii="Times New Roman" w:eastAsia="Times New Roman" w:hAnsi="Times New Roman" w:cs="Times New Roman"/>
          <w:bCs/>
          <w:color w:val="000000"/>
        </w:rPr>
        <w:t xml:space="preserve">11. </w:t>
      </w:r>
      <w:r>
        <w:rPr>
          <w:rFonts w:ascii="Times New Roman" w:hAnsi="Times New Roman" w:cs="Times New Roman"/>
        </w:rPr>
        <w:t>Međupredmetne teme u sklopu Nacionalnog kurikuluma </w:t>
      </w:r>
      <w:hyperlink r:id="rId7" w:history="1">
        <w:r>
          <w:rPr>
            <w:rStyle w:val="Hiperveza"/>
            <w:rFonts w:ascii="Times New Roman" w:hAnsi="Times New Roman" w:cs="Times New Roman"/>
            <w:color w:val="auto"/>
          </w:rPr>
          <w:t>https://mzo.gov.hr/istaknute-teme/odgoj-i-obrazovanje/nacionalni-kurikulum/medjupredmetne-teme/3852</w:t>
        </w:r>
      </w:hyperlink>
    </w:p>
    <w:p w:rsidR="002D5D2C" w:rsidRDefault="002D5D2C">
      <w:pPr>
        <w:spacing w:after="0" w:line="240" w:lineRule="auto"/>
        <w:rPr>
          <w:rFonts w:ascii="Times New Roman" w:eastAsia="Times New Roman" w:hAnsi="Times New Roman" w:cs="Times New Roman"/>
          <w:bCs/>
          <w:color w:val="000000"/>
        </w:rPr>
      </w:pPr>
    </w:p>
    <w:p w:rsidR="002D5D2C" w:rsidRDefault="002D5D2C">
      <w:pPr>
        <w:spacing w:after="0" w:line="240" w:lineRule="auto"/>
        <w:rPr>
          <w:rFonts w:ascii="Times New Roman" w:eastAsia="Times New Roman" w:hAnsi="Times New Roman" w:cs="Times New Roman"/>
          <w:bCs/>
          <w:color w:val="000000"/>
        </w:rPr>
      </w:pPr>
    </w:p>
    <w:p w:rsidR="002D5D2C" w:rsidRDefault="002D5D2C">
      <w:pPr>
        <w:spacing w:after="0" w:line="240" w:lineRule="auto"/>
        <w:rPr>
          <w:rFonts w:ascii="Times New Roman" w:eastAsia="Times New Roman" w:hAnsi="Times New Roman" w:cs="Times New Roman"/>
          <w:bCs/>
          <w:color w:val="000000"/>
        </w:rPr>
      </w:pPr>
    </w:p>
    <w:p w:rsidR="002D5D2C" w:rsidRDefault="002D5D2C">
      <w:pPr>
        <w:spacing w:after="0" w:line="240" w:lineRule="auto"/>
        <w:rPr>
          <w:rFonts w:ascii="Times New Roman" w:eastAsia="Times New Roman" w:hAnsi="Times New Roman" w:cs="Times New Roman"/>
          <w:bCs/>
          <w:color w:val="000000"/>
        </w:rPr>
      </w:pPr>
    </w:p>
    <w:p w:rsidR="002D5D2C" w:rsidRDefault="002D5D2C">
      <w:pPr>
        <w:spacing w:after="0" w:line="240" w:lineRule="auto"/>
        <w:rPr>
          <w:rFonts w:ascii="Times New Roman" w:eastAsia="Times New Roman" w:hAnsi="Times New Roman" w:cs="Times New Roman"/>
          <w:bCs/>
          <w:color w:val="000000"/>
        </w:rPr>
      </w:pPr>
    </w:p>
    <w:p w:rsidR="002D5D2C" w:rsidRDefault="00CC0B69">
      <w:pPr>
        <w:pStyle w:val="Odlomakpopisa"/>
        <w:spacing w:line="360" w:lineRule="auto"/>
        <w:ind w:left="7080"/>
        <w:jc w:val="both"/>
        <w:rPr>
          <w:sz w:val="22"/>
          <w:szCs w:val="22"/>
          <w:lang w:val="hr-HR" w:eastAsia="en-US"/>
        </w:rPr>
      </w:pPr>
      <w:r>
        <w:rPr>
          <w:color w:val="000000"/>
        </w:rPr>
        <w:t xml:space="preserve">                                                               </w:t>
      </w:r>
      <w:r>
        <w:rPr>
          <w:color w:val="000000"/>
          <w:sz w:val="22"/>
          <w:szCs w:val="22"/>
        </w:rPr>
        <w:t xml:space="preserve">                      Povjerenstvo                             </w:t>
      </w:r>
      <w:r>
        <w:rPr>
          <w:color w:val="000000"/>
          <w:sz w:val="22"/>
          <w:szCs w:val="22"/>
        </w:rPr>
        <w:t>                                         </w:t>
      </w:r>
    </w:p>
    <w:p w:rsidR="002D5D2C" w:rsidRDefault="00CC0B69">
      <w:pPr>
        <w:shd w:val="clear" w:color="auto" w:fill="FFFFFF"/>
        <w:spacing w:before="100" w:beforeAutospacing="1" w:after="100" w:afterAutospacing="1" w:line="240" w:lineRule="auto"/>
        <w:jc w:val="right"/>
        <w:rPr>
          <w:rFonts w:ascii="Times New Roman" w:hAnsi="Times New Roman" w:cs="Times New Roman"/>
        </w:rPr>
      </w:pPr>
      <w:r>
        <w:rPr>
          <w:rFonts w:ascii="Times New Roman" w:hAnsi="Times New Roman" w:cs="Times New Roman"/>
        </w:rPr>
        <w:t xml:space="preserve">      </w:t>
      </w:r>
    </w:p>
    <w:sectPr w:rsidR="002D5D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7FD7"/>
    <w:multiLevelType w:val="multilevel"/>
    <w:tmpl w:val="C3726C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E6771F"/>
    <w:multiLevelType w:val="multilevel"/>
    <w:tmpl w:val="452887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9C71523"/>
    <w:multiLevelType w:val="multilevel"/>
    <w:tmpl w:val="5FB4D8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85F3A3D"/>
    <w:multiLevelType w:val="multilevel"/>
    <w:tmpl w:val="298663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752213"/>
    <w:multiLevelType w:val="multilevel"/>
    <w:tmpl w:val="28F20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4EB5ECC"/>
    <w:multiLevelType w:val="multilevel"/>
    <w:tmpl w:val="85103746"/>
    <w:lvl w:ilvl="0">
      <w:start w:val="1"/>
      <w:numFmt w:val="decimal"/>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6" w15:restartNumberingAfterBreak="0">
    <w:nsid w:val="66F9314B"/>
    <w:multiLevelType w:val="multilevel"/>
    <w:tmpl w:val="F1E8D9C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2C"/>
    <w:rsid w:val="002D5D2C"/>
    <w:rsid w:val="00CC0B6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D7BA8-877D-4F2F-8078-6DF9166B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uiPriority w:val="99"/>
    <w:semiHidden/>
    <w:unhideWhenUsed/>
    <w:pPr>
      <w:spacing w:after="0" w:line="240" w:lineRule="auto"/>
    </w:pPr>
    <w:rPr>
      <w:rFonts w:ascii="Tahoma" w:hAnsi="Tahoma" w:cs="Tahoma"/>
      <w:sz w:val="16"/>
      <w:szCs w:val="16"/>
    </w:rPr>
  </w:style>
  <w:style w:type="character" w:customStyle="1" w:styleId="TekstbaloniaChar">
    <w:name w:val="Tekst balončića Char"/>
    <w:basedOn w:val="Zadanifontodlomk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paragraph" w:styleId="Odlomakpopisa">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lang w:val="en-US"/>
    </w:rPr>
  </w:style>
  <w:style w:type="paragraph" w:styleId="Standard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Reetkatablice">
    <w:name w:val="Table Grid"/>
    <w:basedOn w:val="Obinatablica"/>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zo.gov.hr/istaknute-teme/odgoj-i-obrazovanje/nacionalni-kurikulum/medjupredmetne-teme/385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978B1-8D6A-4A02-9D34-ABA78AD9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3893</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Berts-pc</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Ured-Ra1</cp:lastModifiedBy>
  <cp:revision>2</cp:revision>
  <cp:lastPrinted>2026-04-21T11:46:00Z</cp:lastPrinted>
  <dcterms:created xsi:type="dcterms:W3CDTF">2026-04-21T11:47:00Z</dcterms:created>
  <dcterms:modified xsi:type="dcterms:W3CDTF">2026-04-21T11:47:00Z</dcterms:modified>
</cp:coreProperties>
</file>